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about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done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even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buy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only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through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another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does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wash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black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bronze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Tear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about</w:t>
        <w:tab/>
        <w:tab/>
        <w:tab/>
        <w:tab/>
        <w:tab/>
        <w:t xml:space="preserve">8. walk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before</w:t>
        <w:tab/>
        <w:tab/>
        <w:tab/>
        <w:tab/>
        <w:tab/>
        <w:t xml:space="preserve">9. another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done</w:t>
        <w:tab/>
        <w:tab/>
        <w:tab/>
        <w:tab/>
        <w:tab/>
        <w:t xml:space="preserve">10. does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even</w:t>
        <w:tab/>
        <w:tab/>
        <w:tab/>
        <w:tab/>
        <w:tab/>
        <w:t xml:space="preserve">11. some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buy</w:t>
        <w:tab/>
        <w:tab/>
        <w:tab/>
        <w:tab/>
        <w:tab/>
        <w:tab/>
        <w:t xml:space="preserve">12. wash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only</w:t>
        <w:tab/>
        <w:tab/>
        <w:tab/>
        <w:tab/>
        <w:tab/>
        <w:tab/>
        <w:t xml:space="preserve">13. black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through</w:t>
        <w:tab/>
        <w:tab/>
        <w:tab/>
        <w:tab/>
        <w:tab/>
        <w:t xml:space="preserve">14. bronze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