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Cut and practice these flash cards. When your student can read all of the words bring in the list below.</w:t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after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call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her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house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long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small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brown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live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year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purple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++++++++++++++++++++++++++++++++++++++++++++++++++++++++++++++</w:t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Cut off and bring back to school when you can read all of the words.</w:t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Name___________________________________________</w:t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after</w:t>
        <w:tab/>
        <w:tab/>
        <w:tab/>
        <w:tab/>
        <w:tab/>
        <w:t xml:space="preserve">8. small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call</w:t>
        <w:tab/>
        <w:tab/>
        <w:tab/>
        <w:tab/>
        <w:tab/>
        <w:tab/>
        <w:t xml:space="preserve">9. brown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her</w:t>
        <w:tab/>
        <w:tab/>
        <w:tab/>
        <w:tab/>
        <w:tab/>
        <w:tab/>
        <w:t xml:space="preserve">10. live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large</w:t>
        <w:tab/>
        <w:tab/>
        <w:tab/>
        <w:tab/>
        <w:tab/>
        <w:t xml:space="preserve">11. work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house</w:t>
        <w:tab/>
        <w:tab/>
        <w:tab/>
        <w:tab/>
        <w:tab/>
        <w:t xml:space="preserve">12. year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long</w:t>
        <w:tab/>
        <w:tab/>
        <w:tab/>
        <w:tab/>
        <w:tab/>
        <w:tab/>
        <w:t xml:space="preserve">13. purple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off</w:t>
        <w:tab/>
        <w:tab/>
        <w:tab/>
        <w:tab/>
        <w:tab/>
        <w:tab/>
        <w:t xml:space="preserve">14.</w:t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Parent’s signature________________________________</w:t>
      </w:r>
    </w:p>
    <w:sectPr>
      <w:pgSz w:h="12240" w:w="158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