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could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hurt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upon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because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Cut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could</w:t>
        <w:tab/>
        <w:tab/>
        <w:tab/>
        <w:tab/>
        <w:tab/>
        <w:tab/>
        <w:t xml:space="preserve">8. upon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our</w:t>
        <w:tab/>
        <w:tab/>
        <w:tab/>
        <w:tab/>
        <w:tab/>
        <w:tab/>
        <w:tab/>
        <w:t xml:space="preserve">9. because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these</w:t>
        <w:tab/>
        <w:tab/>
        <w:tab/>
        <w:tab/>
        <w:tab/>
        <w:tab/>
        <w:t xml:space="preserve">10. from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were</w:t>
        <w:tab/>
        <w:tab/>
        <w:tab/>
        <w:tab/>
        <w:tab/>
        <w:tab/>
        <w:t xml:space="preserve">11. their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hurt</w:t>
        <w:tab/>
        <w:tab/>
        <w:tab/>
        <w:tab/>
        <w:tab/>
        <w:tab/>
        <w:t xml:space="preserve">12. when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once</w:t>
        <w:tab/>
        <w:tab/>
        <w:tab/>
        <w:tab/>
        <w:tab/>
        <w:tab/>
        <w:t xml:space="preserve">13. green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that</w:t>
        <w:tab/>
        <w:tab/>
        <w:tab/>
        <w:tab/>
        <w:tab/>
        <w:tab/>
        <w:t xml:space="preserve">14.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